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7BB97" w14:textId="77777777" w:rsidR="00F84EFA" w:rsidRDefault="00F84EF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THE HR PROFESSIONAL</w:t>
      </w:r>
    </w:p>
    <w:p w14:paraId="7520F329" w14:textId="658D7706"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293A22">
        <w:rPr>
          <w:rFonts w:eastAsia="Calibri" w:cs="Times New Roman"/>
          <w:b/>
          <w:noProof/>
          <w:color w:val="6699FF"/>
          <w:sz w:val="52"/>
          <w:szCs w:val="44"/>
          <w:lang w:val="en-GB" w:eastAsia="en-GB"/>
        </w:rPr>
        <w:t>1</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773538">
        <w:rPr>
          <w:rFonts w:eastAsia="Calibri" w:cs="Times New Roman"/>
          <w:b/>
          <w:noProof/>
          <w:color w:val="6699FF"/>
          <w:sz w:val="52"/>
          <w:szCs w:val="44"/>
          <w:lang w:val="en-GB" w:eastAsia="en-GB"/>
        </w:rPr>
        <w:t>2</w:t>
      </w:r>
    </w:p>
    <w:p w14:paraId="0C1D6C07" w14:textId="4D609C55" w:rsidR="00A74640" w:rsidRDefault="00F84EFA"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5FC5ED08" w14:textId="0B134951" w:rsidR="007A49A9" w:rsidRPr="007A49A9" w:rsidRDefault="00123B76"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 xml:space="preserve">The </w:t>
      </w:r>
      <w:r w:rsidR="00773538">
        <w:rPr>
          <w:rFonts w:eastAsia="Calibri" w:cs="Arial"/>
          <w:b/>
          <w:bCs/>
          <w:color w:val="003967"/>
          <w:sz w:val="28"/>
          <w:lang w:val="en-GB" w:eastAsia="en-GB"/>
        </w:rPr>
        <w:t>role and contribution of the HR function</w:t>
      </w:r>
    </w:p>
    <w:p w14:paraId="4723375A" w14:textId="77777777" w:rsidR="006244B3" w:rsidRDefault="006244B3" w:rsidP="007A49A9">
      <w:pPr>
        <w:spacing w:after="0" w:line="276" w:lineRule="auto"/>
        <w:rPr>
          <w:rFonts w:eastAsia="Calibri" w:cs="Calibri Light"/>
          <w:b/>
          <w:bCs/>
          <w:sz w:val="24"/>
          <w:szCs w:val="24"/>
        </w:rPr>
      </w:pPr>
    </w:p>
    <w:p w14:paraId="05078F15" w14:textId="77777777" w:rsidR="00773538" w:rsidRPr="002C1C62" w:rsidRDefault="00773538" w:rsidP="00773538">
      <w:pPr>
        <w:spacing w:after="0"/>
        <w:rPr>
          <w:b/>
          <w:sz w:val="24"/>
          <w:szCs w:val="24"/>
        </w:rPr>
      </w:pPr>
      <w:r w:rsidRPr="002C1C62">
        <w:rPr>
          <w:b/>
          <w:sz w:val="24"/>
          <w:szCs w:val="24"/>
        </w:rPr>
        <w:t>Aim:</w:t>
      </w:r>
    </w:p>
    <w:p w14:paraId="0E08D254" w14:textId="77777777" w:rsidR="00773538" w:rsidRPr="002C1C62" w:rsidRDefault="00773538" w:rsidP="00773538">
      <w:pPr>
        <w:spacing w:after="0"/>
        <w:rPr>
          <w:sz w:val="24"/>
          <w:szCs w:val="24"/>
        </w:rPr>
      </w:pPr>
      <w:r w:rsidRPr="002C1C62">
        <w:rPr>
          <w:sz w:val="24"/>
          <w:szCs w:val="24"/>
        </w:rPr>
        <w:t>The aim of this activity is to develop an understanding of the broader role of the HR function.</w:t>
      </w:r>
    </w:p>
    <w:p w14:paraId="03798EC0" w14:textId="77777777" w:rsidR="00773538" w:rsidRPr="002C1C62" w:rsidRDefault="00773538" w:rsidP="00773538">
      <w:pPr>
        <w:spacing w:after="0"/>
        <w:rPr>
          <w:b/>
          <w:sz w:val="24"/>
          <w:szCs w:val="24"/>
        </w:rPr>
      </w:pPr>
      <w:r w:rsidRPr="002C1C62">
        <w:rPr>
          <w:sz w:val="24"/>
          <w:szCs w:val="24"/>
        </w:rPr>
        <w:br/>
      </w:r>
      <w:r w:rsidRPr="002C1C62">
        <w:rPr>
          <w:b/>
          <w:sz w:val="24"/>
          <w:szCs w:val="24"/>
        </w:rPr>
        <w:t>Objectives:</w:t>
      </w:r>
    </w:p>
    <w:p w14:paraId="696611FF" w14:textId="50F70609" w:rsidR="00773538" w:rsidRPr="002C1C62" w:rsidRDefault="00773538" w:rsidP="00773538">
      <w:pPr>
        <w:pStyle w:val="ListParagraph"/>
        <w:numPr>
          <w:ilvl w:val="0"/>
          <w:numId w:val="12"/>
        </w:numPr>
        <w:spacing w:after="0" w:line="276" w:lineRule="auto"/>
        <w:contextualSpacing w:val="0"/>
        <w:rPr>
          <w:rFonts w:cs="Arial"/>
          <w:sz w:val="24"/>
          <w:szCs w:val="24"/>
        </w:rPr>
      </w:pPr>
      <w:r w:rsidRPr="002C1C62">
        <w:rPr>
          <w:rFonts w:cs="Arial"/>
          <w:sz w:val="24"/>
          <w:szCs w:val="24"/>
        </w:rPr>
        <w:t>To identify the key functions and responsibilities of HR functions</w:t>
      </w:r>
      <w:r w:rsidR="005F2B59">
        <w:rPr>
          <w:rFonts w:cs="Arial"/>
          <w:sz w:val="24"/>
          <w:szCs w:val="24"/>
        </w:rPr>
        <w:t>.</w:t>
      </w:r>
    </w:p>
    <w:p w14:paraId="0BCD50F6" w14:textId="77777777" w:rsidR="00773538" w:rsidRPr="002C1C62" w:rsidRDefault="00773538" w:rsidP="00773538">
      <w:pPr>
        <w:pStyle w:val="ListParagraph"/>
        <w:numPr>
          <w:ilvl w:val="0"/>
          <w:numId w:val="12"/>
        </w:numPr>
        <w:spacing w:after="0" w:line="276" w:lineRule="auto"/>
        <w:contextualSpacing w:val="0"/>
        <w:rPr>
          <w:rFonts w:cs="Arial"/>
          <w:sz w:val="24"/>
          <w:szCs w:val="24"/>
        </w:rPr>
      </w:pPr>
      <w:r w:rsidRPr="002C1C62">
        <w:rPr>
          <w:rFonts w:cs="Arial"/>
          <w:sz w:val="24"/>
          <w:szCs w:val="24"/>
        </w:rPr>
        <w:t>To raise awareness of how HR functions are organised and structured.</w:t>
      </w:r>
    </w:p>
    <w:p w14:paraId="5EA7A15E" w14:textId="77777777" w:rsidR="00773538" w:rsidRPr="002C1C62" w:rsidRDefault="00773538" w:rsidP="00773538">
      <w:pPr>
        <w:pStyle w:val="ListParagraph"/>
        <w:spacing w:after="0" w:line="276" w:lineRule="auto"/>
        <w:ind w:left="360"/>
        <w:rPr>
          <w:rFonts w:cs="Arial"/>
          <w:sz w:val="24"/>
          <w:szCs w:val="24"/>
        </w:rPr>
      </w:pPr>
    </w:p>
    <w:p w14:paraId="5FE66F3C" w14:textId="77777777" w:rsidR="00773538" w:rsidRPr="002C1C62" w:rsidRDefault="00773538" w:rsidP="00773538">
      <w:pPr>
        <w:spacing w:after="0"/>
        <w:rPr>
          <w:b/>
          <w:sz w:val="24"/>
          <w:szCs w:val="24"/>
        </w:rPr>
      </w:pPr>
      <w:r w:rsidRPr="002C1C62">
        <w:rPr>
          <w:b/>
          <w:sz w:val="24"/>
          <w:szCs w:val="24"/>
        </w:rPr>
        <w:t>Task brief:</w:t>
      </w:r>
    </w:p>
    <w:p w14:paraId="264633B4" w14:textId="28122D0D" w:rsidR="00773538" w:rsidRDefault="00773538" w:rsidP="00773538">
      <w:pPr>
        <w:spacing w:after="0"/>
        <w:rPr>
          <w:sz w:val="24"/>
          <w:szCs w:val="24"/>
        </w:rPr>
      </w:pPr>
      <w:r w:rsidRPr="002C1C62">
        <w:rPr>
          <w:sz w:val="24"/>
          <w:szCs w:val="24"/>
        </w:rPr>
        <w:t>The walls of the classroom will act as a “Talking Wall” – an area where we will place our thoughts and ideas on the role and contribution of the HR function.</w:t>
      </w:r>
      <w:r w:rsidR="002C1C62">
        <w:rPr>
          <w:sz w:val="24"/>
          <w:szCs w:val="24"/>
        </w:rPr>
        <w:t xml:space="preserve"> </w:t>
      </w:r>
    </w:p>
    <w:p w14:paraId="76D36D39" w14:textId="77777777" w:rsidR="002C1C62" w:rsidRPr="002C1C62" w:rsidRDefault="002C1C62" w:rsidP="00773538">
      <w:pPr>
        <w:spacing w:after="0"/>
        <w:rPr>
          <w:sz w:val="24"/>
          <w:szCs w:val="24"/>
        </w:rPr>
      </w:pPr>
    </w:p>
    <w:p w14:paraId="6E3A513C" w14:textId="4CDC4487" w:rsidR="00773538" w:rsidRPr="002C1C62" w:rsidRDefault="00773538" w:rsidP="00773538">
      <w:pPr>
        <w:spacing w:after="0"/>
        <w:rPr>
          <w:sz w:val="24"/>
          <w:szCs w:val="24"/>
        </w:rPr>
      </w:pPr>
      <w:r w:rsidRPr="002C1C62">
        <w:rPr>
          <w:sz w:val="24"/>
          <w:szCs w:val="24"/>
        </w:rPr>
        <w:t xml:space="preserve">On the walls are 4 flip chart pages </w:t>
      </w:r>
      <w:r w:rsidR="00F24F4E">
        <w:rPr>
          <w:sz w:val="24"/>
          <w:szCs w:val="24"/>
        </w:rPr>
        <w:t xml:space="preserve">(or other pieces of paper) </w:t>
      </w:r>
      <w:r w:rsidRPr="002C1C62">
        <w:rPr>
          <w:sz w:val="24"/>
          <w:szCs w:val="24"/>
        </w:rPr>
        <w:t>with the following headings:</w:t>
      </w:r>
      <w:r w:rsidR="002C1C62">
        <w:rPr>
          <w:sz w:val="24"/>
          <w:szCs w:val="24"/>
        </w:rPr>
        <w:br/>
      </w:r>
    </w:p>
    <w:p w14:paraId="4E4B6AA0" w14:textId="77777777" w:rsidR="00773538" w:rsidRPr="002C1C62" w:rsidRDefault="00773538" w:rsidP="00773538">
      <w:pPr>
        <w:numPr>
          <w:ilvl w:val="0"/>
          <w:numId w:val="13"/>
        </w:numPr>
        <w:autoSpaceDE w:val="0"/>
        <w:autoSpaceDN w:val="0"/>
        <w:adjustRightInd w:val="0"/>
        <w:spacing w:after="0" w:line="240" w:lineRule="auto"/>
        <w:rPr>
          <w:rFonts w:cs="GillSans"/>
          <w:color w:val="000000"/>
          <w:sz w:val="24"/>
          <w:szCs w:val="24"/>
          <w:lang w:eastAsia="en-GB"/>
        </w:rPr>
      </w:pPr>
      <w:r w:rsidRPr="002C1C62">
        <w:rPr>
          <w:rFonts w:cs="GillSans"/>
          <w:color w:val="000000"/>
          <w:sz w:val="24"/>
          <w:szCs w:val="24"/>
          <w:lang w:eastAsia="en-GB"/>
        </w:rPr>
        <w:t>Resourcing  (including) recruitment</w:t>
      </w:r>
    </w:p>
    <w:p w14:paraId="3E465178" w14:textId="77777777" w:rsidR="00773538" w:rsidRPr="002C1C62" w:rsidRDefault="00773538" w:rsidP="00773538">
      <w:pPr>
        <w:numPr>
          <w:ilvl w:val="0"/>
          <w:numId w:val="13"/>
        </w:numPr>
        <w:autoSpaceDE w:val="0"/>
        <w:autoSpaceDN w:val="0"/>
        <w:adjustRightInd w:val="0"/>
        <w:spacing w:after="0" w:line="240" w:lineRule="auto"/>
        <w:rPr>
          <w:rFonts w:cs="GillSans"/>
          <w:color w:val="000000"/>
          <w:sz w:val="24"/>
          <w:szCs w:val="24"/>
          <w:lang w:eastAsia="en-GB"/>
        </w:rPr>
      </w:pPr>
      <w:r w:rsidRPr="002C1C62">
        <w:rPr>
          <w:rFonts w:cs="GillSans"/>
          <w:color w:val="000000"/>
          <w:sz w:val="24"/>
          <w:szCs w:val="24"/>
          <w:lang w:eastAsia="en-GB"/>
        </w:rPr>
        <w:t>Reward (including) benefits</w:t>
      </w:r>
    </w:p>
    <w:p w14:paraId="2AB03E2A" w14:textId="77777777" w:rsidR="00773538" w:rsidRPr="002C1C62" w:rsidRDefault="00773538" w:rsidP="00773538">
      <w:pPr>
        <w:numPr>
          <w:ilvl w:val="0"/>
          <w:numId w:val="13"/>
        </w:numPr>
        <w:autoSpaceDE w:val="0"/>
        <w:autoSpaceDN w:val="0"/>
        <w:adjustRightInd w:val="0"/>
        <w:spacing w:after="0" w:line="240" w:lineRule="auto"/>
        <w:rPr>
          <w:rFonts w:cs="GillSans"/>
          <w:color w:val="000000"/>
          <w:sz w:val="24"/>
          <w:szCs w:val="24"/>
          <w:lang w:eastAsia="en-GB"/>
        </w:rPr>
      </w:pPr>
      <w:r w:rsidRPr="002C1C62">
        <w:rPr>
          <w:rFonts w:cs="GillSans"/>
          <w:color w:val="000000"/>
          <w:sz w:val="24"/>
          <w:szCs w:val="24"/>
          <w:lang w:eastAsia="en-GB"/>
        </w:rPr>
        <w:t>Relations (including  communication)</w:t>
      </w:r>
    </w:p>
    <w:p w14:paraId="464D955E" w14:textId="2FAF6E4C" w:rsidR="00773538" w:rsidRPr="002C1C62" w:rsidRDefault="00773538" w:rsidP="00773538">
      <w:pPr>
        <w:numPr>
          <w:ilvl w:val="0"/>
          <w:numId w:val="13"/>
        </w:numPr>
        <w:autoSpaceDE w:val="0"/>
        <w:autoSpaceDN w:val="0"/>
        <w:adjustRightInd w:val="0"/>
        <w:spacing w:after="0" w:line="240" w:lineRule="auto"/>
        <w:rPr>
          <w:rFonts w:cs="GillSans"/>
          <w:color w:val="000000"/>
          <w:sz w:val="24"/>
          <w:szCs w:val="24"/>
        </w:rPr>
      </w:pPr>
      <w:r w:rsidRPr="002C1C62">
        <w:rPr>
          <w:rFonts w:cs="GillSans"/>
          <w:color w:val="000000"/>
          <w:sz w:val="24"/>
          <w:szCs w:val="24"/>
          <w:lang w:eastAsia="en-GB"/>
        </w:rPr>
        <w:t>Learning and Development</w:t>
      </w:r>
      <w:r w:rsidR="005F2B59">
        <w:rPr>
          <w:rFonts w:cs="GillSans"/>
          <w:color w:val="000000"/>
          <w:sz w:val="24"/>
          <w:szCs w:val="24"/>
          <w:lang w:eastAsia="en-GB"/>
        </w:rPr>
        <w:t>.</w:t>
      </w:r>
    </w:p>
    <w:p w14:paraId="29681543" w14:textId="77777777" w:rsidR="00773538" w:rsidRPr="002C1C62" w:rsidRDefault="00773538" w:rsidP="00773538">
      <w:pPr>
        <w:spacing w:after="0"/>
        <w:rPr>
          <w:sz w:val="24"/>
          <w:szCs w:val="24"/>
        </w:rPr>
      </w:pPr>
    </w:p>
    <w:p w14:paraId="19046437" w14:textId="504599C7" w:rsidR="00773538" w:rsidRPr="002C1C62" w:rsidRDefault="002C1C62" w:rsidP="00773538">
      <w:pPr>
        <w:spacing w:after="0"/>
        <w:rPr>
          <w:b/>
          <w:sz w:val="24"/>
          <w:szCs w:val="24"/>
        </w:rPr>
      </w:pPr>
      <w:r>
        <w:rPr>
          <w:b/>
          <w:sz w:val="24"/>
          <w:szCs w:val="24"/>
        </w:rPr>
        <w:t>Part 1</w:t>
      </w:r>
    </w:p>
    <w:p w14:paraId="58854049" w14:textId="1186449E" w:rsidR="00773538" w:rsidRPr="002C1C62" w:rsidRDefault="00773538" w:rsidP="00773538">
      <w:pPr>
        <w:spacing w:after="0"/>
        <w:rPr>
          <w:sz w:val="24"/>
          <w:szCs w:val="24"/>
        </w:rPr>
      </w:pPr>
      <w:r w:rsidRPr="002C1C62">
        <w:rPr>
          <w:sz w:val="24"/>
          <w:szCs w:val="24"/>
        </w:rPr>
        <w:t xml:space="preserve">Working as a group of </w:t>
      </w:r>
      <w:r w:rsidR="005F2B59">
        <w:rPr>
          <w:sz w:val="24"/>
          <w:szCs w:val="24"/>
        </w:rPr>
        <w:t>three</w:t>
      </w:r>
      <w:r w:rsidRPr="002C1C62">
        <w:rPr>
          <w:sz w:val="24"/>
          <w:szCs w:val="24"/>
        </w:rPr>
        <w:t xml:space="preserve"> you are asked to visit each heading, in turn, and identify the various HR activities which you undertake within each area.  As you progress around the flipchart sheets, you will probably find that a previous group has already added some of the activities you had thought of.  There is no need to repeat these, and you should only add new activities.</w:t>
      </w:r>
    </w:p>
    <w:p w14:paraId="0B00141A" w14:textId="77777777" w:rsidR="00773538" w:rsidRPr="002C1C62" w:rsidRDefault="00773538" w:rsidP="00773538">
      <w:pPr>
        <w:spacing w:after="0"/>
        <w:rPr>
          <w:sz w:val="24"/>
          <w:szCs w:val="24"/>
        </w:rPr>
      </w:pPr>
    </w:p>
    <w:p w14:paraId="1D0FEC49" w14:textId="19295225" w:rsidR="00773538" w:rsidRPr="002C1C62" w:rsidRDefault="00773538" w:rsidP="00773538">
      <w:pPr>
        <w:spacing w:after="0"/>
        <w:rPr>
          <w:b/>
          <w:sz w:val="24"/>
          <w:szCs w:val="24"/>
        </w:rPr>
      </w:pPr>
      <w:r w:rsidRPr="002C1C62">
        <w:rPr>
          <w:b/>
          <w:sz w:val="24"/>
          <w:szCs w:val="24"/>
        </w:rPr>
        <w:t xml:space="preserve">Part 2  </w:t>
      </w:r>
    </w:p>
    <w:p w14:paraId="06E860E6" w14:textId="7EABCB5E" w:rsidR="00773538" w:rsidRPr="002C1C62" w:rsidRDefault="00773538" w:rsidP="00773538">
      <w:pPr>
        <w:spacing w:after="0"/>
        <w:rPr>
          <w:sz w:val="24"/>
          <w:szCs w:val="24"/>
        </w:rPr>
      </w:pPr>
      <w:r w:rsidRPr="002C1C62">
        <w:rPr>
          <w:sz w:val="24"/>
          <w:szCs w:val="24"/>
        </w:rPr>
        <w:t xml:space="preserve">Your group will then be allocated one of the </w:t>
      </w:r>
      <w:r w:rsidR="005F2B59">
        <w:rPr>
          <w:sz w:val="24"/>
          <w:szCs w:val="24"/>
        </w:rPr>
        <w:t>four</w:t>
      </w:r>
      <w:r w:rsidRPr="002C1C62">
        <w:rPr>
          <w:sz w:val="24"/>
          <w:szCs w:val="24"/>
        </w:rPr>
        <w:t xml:space="preserve"> areas of HR activity for your group to look at in detail.  In your group you should discuss:</w:t>
      </w:r>
    </w:p>
    <w:p w14:paraId="1BDA09C2" w14:textId="77777777" w:rsidR="00773538" w:rsidRPr="002C1C62" w:rsidRDefault="00773538" w:rsidP="00773538">
      <w:pPr>
        <w:pStyle w:val="ListParagraph"/>
        <w:numPr>
          <w:ilvl w:val="0"/>
          <w:numId w:val="14"/>
        </w:numPr>
        <w:autoSpaceDE w:val="0"/>
        <w:autoSpaceDN w:val="0"/>
        <w:adjustRightInd w:val="0"/>
        <w:spacing w:after="0" w:line="240" w:lineRule="auto"/>
        <w:contextualSpacing w:val="0"/>
        <w:rPr>
          <w:rFonts w:cs="GillSans"/>
          <w:color w:val="000000"/>
          <w:sz w:val="24"/>
          <w:szCs w:val="24"/>
        </w:rPr>
      </w:pPr>
      <w:r w:rsidRPr="002C1C62">
        <w:rPr>
          <w:rFonts w:cs="GillSans"/>
          <w:color w:val="000000"/>
          <w:sz w:val="24"/>
          <w:szCs w:val="24"/>
        </w:rPr>
        <w:t>Any activities that you don’t feel are part of HR’s remit?</w:t>
      </w:r>
    </w:p>
    <w:p w14:paraId="16B525C8" w14:textId="7B1B0360" w:rsidR="00773538" w:rsidRPr="002C1C62" w:rsidRDefault="00773538" w:rsidP="00773538">
      <w:pPr>
        <w:pStyle w:val="ListParagraph"/>
        <w:numPr>
          <w:ilvl w:val="0"/>
          <w:numId w:val="14"/>
        </w:numPr>
        <w:autoSpaceDE w:val="0"/>
        <w:autoSpaceDN w:val="0"/>
        <w:adjustRightInd w:val="0"/>
        <w:spacing w:after="0" w:line="240" w:lineRule="auto"/>
        <w:contextualSpacing w:val="0"/>
        <w:rPr>
          <w:rFonts w:cs="GillSans"/>
          <w:color w:val="000000"/>
          <w:sz w:val="24"/>
          <w:szCs w:val="24"/>
        </w:rPr>
      </w:pPr>
      <w:r w:rsidRPr="002C1C62">
        <w:rPr>
          <w:rFonts w:cs="GillSans"/>
          <w:color w:val="000000"/>
          <w:sz w:val="24"/>
          <w:szCs w:val="24"/>
        </w:rPr>
        <w:t>Are there any surprises</w:t>
      </w:r>
      <w:r w:rsidR="005F2B59">
        <w:rPr>
          <w:rFonts w:cs="GillSans"/>
          <w:color w:val="000000"/>
          <w:sz w:val="24"/>
          <w:szCs w:val="24"/>
        </w:rPr>
        <w:t>?</w:t>
      </w:r>
      <w:bookmarkStart w:id="0" w:name="_GoBack"/>
      <w:bookmarkEnd w:id="0"/>
    </w:p>
    <w:p w14:paraId="3E771604" w14:textId="77777777" w:rsidR="00773538" w:rsidRPr="002C1C62" w:rsidRDefault="00773538" w:rsidP="00773538">
      <w:pPr>
        <w:numPr>
          <w:ilvl w:val="0"/>
          <w:numId w:val="14"/>
        </w:numPr>
        <w:spacing w:after="0" w:line="240" w:lineRule="auto"/>
        <w:rPr>
          <w:rFonts w:cs="GillSans"/>
          <w:color w:val="000000"/>
          <w:sz w:val="24"/>
          <w:szCs w:val="24"/>
        </w:rPr>
      </w:pPr>
      <w:r w:rsidRPr="002C1C62">
        <w:rPr>
          <w:rFonts w:cs="GillSans"/>
          <w:color w:val="000000"/>
          <w:sz w:val="24"/>
          <w:szCs w:val="24"/>
        </w:rPr>
        <w:t>Which activities add most value to an organisation’s success and achievement of its business goals, and how do they do this?</w:t>
      </w:r>
    </w:p>
    <w:p w14:paraId="614109AA" w14:textId="77777777" w:rsidR="002C1C62" w:rsidRDefault="002C1C62" w:rsidP="00773538">
      <w:pPr>
        <w:spacing w:after="0"/>
        <w:rPr>
          <w:rFonts w:cs="GillSans"/>
          <w:color w:val="000000"/>
          <w:sz w:val="24"/>
          <w:szCs w:val="24"/>
        </w:rPr>
      </w:pPr>
    </w:p>
    <w:p w14:paraId="79945F4E" w14:textId="77777777" w:rsidR="00773538" w:rsidRPr="002C1C62" w:rsidRDefault="00773538" w:rsidP="00773538">
      <w:pPr>
        <w:spacing w:after="0"/>
        <w:rPr>
          <w:sz w:val="24"/>
          <w:szCs w:val="24"/>
        </w:rPr>
      </w:pPr>
      <w:r w:rsidRPr="002C1C62">
        <w:rPr>
          <w:rFonts w:cs="GillSans"/>
          <w:color w:val="000000"/>
          <w:sz w:val="24"/>
          <w:szCs w:val="24"/>
        </w:rPr>
        <w:t>Prepare to feedback your conclusions to the rest of the group.</w:t>
      </w:r>
    </w:p>
    <w:p w14:paraId="4C193AF5" w14:textId="77777777" w:rsidR="00773538" w:rsidRPr="002C1C62" w:rsidRDefault="00773538" w:rsidP="00773538">
      <w:pPr>
        <w:spacing w:after="0"/>
        <w:rPr>
          <w:sz w:val="24"/>
          <w:szCs w:val="24"/>
        </w:rPr>
      </w:pPr>
    </w:p>
    <w:p w14:paraId="7EF79A26" w14:textId="77777777" w:rsidR="00773538" w:rsidRPr="002C1C62" w:rsidRDefault="00773538" w:rsidP="00773538">
      <w:pPr>
        <w:spacing w:after="0"/>
        <w:rPr>
          <w:b/>
          <w:sz w:val="24"/>
          <w:szCs w:val="24"/>
        </w:rPr>
      </w:pPr>
      <w:r w:rsidRPr="002C1C62">
        <w:rPr>
          <w:b/>
          <w:sz w:val="24"/>
          <w:szCs w:val="24"/>
        </w:rPr>
        <w:t>Time:</w:t>
      </w:r>
    </w:p>
    <w:p w14:paraId="7BE19924" w14:textId="028D2041" w:rsidR="00773538" w:rsidRPr="002C1C62" w:rsidRDefault="00773538" w:rsidP="00773538">
      <w:pPr>
        <w:spacing w:after="0"/>
        <w:rPr>
          <w:sz w:val="24"/>
          <w:szCs w:val="24"/>
        </w:rPr>
      </w:pPr>
      <w:r w:rsidRPr="002C1C62">
        <w:rPr>
          <w:sz w:val="24"/>
          <w:szCs w:val="24"/>
        </w:rPr>
        <w:t xml:space="preserve">You have 15 minutes for </w:t>
      </w:r>
      <w:r w:rsidR="005F2B59">
        <w:rPr>
          <w:sz w:val="24"/>
          <w:szCs w:val="24"/>
        </w:rPr>
        <w:t>P</w:t>
      </w:r>
      <w:r w:rsidRPr="002C1C62">
        <w:rPr>
          <w:sz w:val="24"/>
          <w:szCs w:val="24"/>
        </w:rPr>
        <w:t xml:space="preserve">art 1 and </w:t>
      </w:r>
      <w:r w:rsidR="002C1C62">
        <w:rPr>
          <w:sz w:val="24"/>
          <w:szCs w:val="24"/>
        </w:rPr>
        <w:t>30</w:t>
      </w:r>
      <w:r w:rsidRPr="002C1C62">
        <w:rPr>
          <w:sz w:val="24"/>
          <w:szCs w:val="24"/>
        </w:rPr>
        <w:t xml:space="preserve"> minutes for </w:t>
      </w:r>
      <w:r w:rsidR="005F2B59">
        <w:rPr>
          <w:sz w:val="24"/>
          <w:szCs w:val="24"/>
        </w:rPr>
        <w:t>P</w:t>
      </w:r>
      <w:r w:rsidRPr="002C1C62">
        <w:rPr>
          <w:sz w:val="24"/>
          <w:szCs w:val="24"/>
        </w:rPr>
        <w:t>art 2</w:t>
      </w:r>
      <w:r w:rsidR="002C1C62">
        <w:rPr>
          <w:sz w:val="24"/>
          <w:szCs w:val="24"/>
        </w:rPr>
        <w:t>.</w:t>
      </w:r>
    </w:p>
    <w:p w14:paraId="0B9F9535" w14:textId="525BCF3C" w:rsidR="00FE6CE5" w:rsidRPr="002C1C62" w:rsidRDefault="00FE6CE5" w:rsidP="00F84EFA">
      <w:pPr>
        <w:spacing w:after="0" w:line="276" w:lineRule="auto"/>
        <w:rPr>
          <w:rFonts w:eastAsia="Calibri" w:cs="Calibri Light"/>
          <w:b/>
          <w:bCs/>
          <w:sz w:val="24"/>
          <w:szCs w:val="24"/>
        </w:rPr>
      </w:pPr>
    </w:p>
    <w:sectPr w:rsidR="00FE6CE5" w:rsidRPr="002C1C62"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8E591" w14:textId="77777777" w:rsidR="00035B59" w:rsidRDefault="00035B59" w:rsidP="00B71E51">
      <w:pPr>
        <w:spacing w:after="0" w:line="240" w:lineRule="auto"/>
      </w:pPr>
      <w:r>
        <w:separator/>
      </w:r>
    </w:p>
  </w:endnote>
  <w:endnote w:type="continuationSeparator" w:id="0">
    <w:p w14:paraId="0E8F34F9" w14:textId="77777777" w:rsidR="00035B59" w:rsidRDefault="00035B5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charset w:val="00"/>
    <w:family w:val="swiss"/>
    <w:pitch w:val="variable"/>
    <w:sig w:usb0="00000007" w:usb1="00000000" w:usb2="00000000" w:usb3="00000000" w:csb0="00000093"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77777777" w:rsidR="00DE172A" w:rsidRDefault="007A49A9" w:rsidP="00620435">
    <w:pPr>
      <w:pStyle w:val="Footer"/>
      <w:pBdr>
        <w:top w:val="single" w:sz="4" w:space="1" w:color="auto"/>
      </w:pBdr>
      <w:tabs>
        <w:tab w:val="clear" w:pos="4513"/>
        <w:tab w:val="clear" w:pos="9026"/>
        <w:tab w:val="right" w:pos="10466"/>
      </w:tabs>
    </w:pPr>
    <w:r>
      <w:t>Element 1</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C4CA5" w14:textId="77777777" w:rsidR="00035B59" w:rsidRDefault="00035B59" w:rsidP="00B71E51">
      <w:pPr>
        <w:spacing w:after="0" w:line="240" w:lineRule="auto"/>
      </w:pPr>
      <w:r>
        <w:separator/>
      </w:r>
    </w:p>
  </w:footnote>
  <w:footnote w:type="continuationSeparator" w:id="0">
    <w:p w14:paraId="6A65894C" w14:textId="77777777" w:rsidR="00035B59" w:rsidRDefault="00035B5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AE28F4" w:rsidRDefault="007A49A9">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B796A"/>
    <w:multiLevelType w:val="hybridMultilevel"/>
    <w:tmpl w:val="87B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E20B5"/>
    <w:multiLevelType w:val="hybridMultilevel"/>
    <w:tmpl w:val="09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27853"/>
    <w:multiLevelType w:val="hybridMultilevel"/>
    <w:tmpl w:val="BCF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F6765"/>
    <w:multiLevelType w:val="hybridMultilevel"/>
    <w:tmpl w:val="D00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48134A"/>
    <w:multiLevelType w:val="hybridMultilevel"/>
    <w:tmpl w:val="5A4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755DB"/>
    <w:multiLevelType w:val="hybridMultilevel"/>
    <w:tmpl w:val="EAA8C1D0"/>
    <w:lvl w:ilvl="0" w:tplc="22B6E66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D33F8B"/>
    <w:multiLevelType w:val="hybridMultilevel"/>
    <w:tmpl w:val="0696F9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13"/>
  </w:num>
  <w:num w:numId="6">
    <w:abstractNumId w:val="3"/>
  </w:num>
  <w:num w:numId="7">
    <w:abstractNumId w:val="11"/>
  </w:num>
  <w:num w:numId="8">
    <w:abstractNumId w:val="10"/>
  </w:num>
  <w:num w:numId="9">
    <w:abstractNumId w:val="5"/>
  </w:num>
  <w:num w:numId="10">
    <w:abstractNumId w:val="8"/>
  </w:num>
  <w:num w:numId="11">
    <w:abstractNumId w:val="6"/>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07858"/>
    <w:rsid w:val="00035B59"/>
    <w:rsid w:val="000374F4"/>
    <w:rsid w:val="000D48F7"/>
    <w:rsid w:val="00111DCE"/>
    <w:rsid w:val="00123B76"/>
    <w:rsid w:val="00166152"/>
    <w:rsid w:val="00186995"/>
    <w:rsid w:val="001D3F2E"/>
    <w:rsid w:val="002021BC"/>
    <w:rsid w:val="002319ED"/>
    <w:rsid w:val="00254090"/>
    <w:rsid w:val="002842ED"/>
    <w:rsid w:val="00293A22"/>
    <w:rsid w:val="002C02CE"/>
    <w:rsid w:val="002C1C62"/>
    <w:rsid w:val="002F30B7"/>
    <w:rsid w:val="0030347B"/>
    <w:rsid w:val="003355F3"/>
    <w:rsid w:val="00346373"/>
    <w:rsid w:val="00356456"/>
    <w:rsid w:val="003C419B"/>
    <w:rsid w:val="004302CD"/>
    <w:rsid w:val="004351E6"/>
    <w:rsid w:val="00444B62"/>
    <w:rsid w:val="004C6C1D"/>
    <w:rsid w:val="004D2B7A"/>
    <w:rsid w:val="0059363C"/>
    <w:rsid w:val="00595301"/>
    <w:rsid w:val="005E0B3B"/>
    <w:rsid w:val="005F2B59"/>
    <w:rsid w:val="006244B3"/>
    <w:rsid w:val="006276FE"/>
    <w:rsid w:val="00636CFD"/>
    <w:rsid w:val="00673CF9"/>
    <w:rsid w:val="006B1C06"/>
    <w:rsid w:val="006C69D4"/>
    <w:rsid w:val="00704CAB"/>
    <w:rsid w:val="007572F6"/>
    <w:rsid w:val="0076143E"/>
    <w:rsid w:val="00773538"/>
    <w:rsid w:val="007751CB"/>
    <w:rsid w:val="00780FFE"/>
    <w:rsid w:val="0079570D"/>
    <w:rsid w:val="007A3515"/>
    <w:rsid w:val="007A49A9"/>
    <w:rsid w:val="007C73F5"/>
    <w:rsid w:val="00803D25"/>
    <w:rsid w:val="00823B07"/>
    <w:rsid w:val="00824911"/>
    <w:rsid w:val="00834A9C"/>
    <w:rsid w:val="008372E1"/>
    <w:rsid w:val="00852CCF"/>
    <w:rsid w:val="008A7E5E"/>
    <w:rsid w:val="008E3BC1"/>
    <w:rsid w:val="00914331"/>
    <w:rsid w:val="0092442F"/>
    <w:rsid w:val="0097414F"/>
    <w:rsid w:val="00A52DC2"/>
    <w:rsid w:val="00A54F29"/>
    <w:rsid w:val="00A74640"/>
    <w:rsid w:val="00AB168C"/>
    <w:rsid w:val="00AC4A11"/>
    <w:rsid w:val="00AF474A"/>
    <w:rsid w:val="00AF47D3"/>
    <w:rsid w:val="00B004C4"/>
    <w:rsid w:val="00B12D87"/>
    <w:rsid w:val="00B3002A"/>
    <w:rsid w:val="00B63ADD"/>
    <w:rsid w:val="00B70E9F"/>
    <w:rsid w:val="00B71E51"/>
    <w:rsid w:val="00BA60F2"/>
    <w:rsid w:val="00BD2EB2"/>
    <w:rsid w:val="00C47E62"/>
    <w:rsid w:val="00C50DF6"/>
    <w:rsid w:val="00C66271"/>
    <w:rsid w:val="00C6647E"/>
    <w:rsid w:val="00C95A4E"/>
    <w:rsid w:val="00C96C1B"/>
    <w:rsid w:val="00CA141A"/>
    <w:rsid w:val="00CE73A2"/>
    <w:rsid w:val="00D006CA"/>
    <w:rsid w:val="00D21D5B"/>
    <w:rsid w:val="00D266B2"/>
    <w:rsid w:val="00D30207"/>
    <w:rsid w:val="00D44052"/>
    <w:rsid w:val="00D659DA"/>
    <w:rsid w:val="00D66BDF"/>
    <w:rsid w:val="00D873BE"/>
    <w:rsid w:val="00DF2121"/>
    <w:rsid w:val="00ED68D5"/>
    <w:rsid w:val="00EE658B"/>
    <w:rsid w:val="00F24F4E"/>
    <w:rsid w:val="00F46D59"/>
    <w:rsid w:val="00F74460"/>
    <w:rsid w:val="00F84EFA"/>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B1020A6A-5A89-46E0-B5E4-2E38D8C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 w:type="character" w:styleId="CommentReference">
    <w:name w:val="annotation reference"/>
    <w:basedOn w:val="DefaultParagraphFont"/>
    <w:uiPriority w:val="99"/>
    <w:semiHidden/>
    <w:unhideWhenUsed/>
    <w:rsid w:val="00C95A4E"/>
    <w:rPr>
      <w:sz w:val="16"/>
      <w:szCs w:val="16"/>
    </w:rPr>
  </w:style>
  <w:style w:type="paragraph" w:styleId="CommentText">
    <w:name w:val="annotation text"/>
    <w:basedOn w:val="Normal"/>
    <w:link w:val="CommentTextChar"/>
    <w:uiPriority w:val="99"/>
    <w:semiHidden/>
    <w:unhideWhenUsed/>
    <w:rsid w:val="00C95A4E"/>
    <w:pPr>
      <w:spacing w:line="240" w:lineRule="auto"/>
    </w:pPr>
    <w:rPr>
      <w:sz w:val="20"/>
      <w:szCs w:val="20"/>
    </w:rPr>
  </w:style>
  <w:style w:type="character" w:customStyle="1" w:styleId="CommentTextChar">
    <w:name w:val="Comment Text Char"/>
    <w:basedOn w:val="DefaultParagraphFont"/>
    <w:link w:val="CommentText"/>
    <w:uiPriority w:val="99"/>
    <w:semiHidden/>
    <w:rsid w:val="00C95A4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95A4E"/>
    <w:rPr>
      <w:b/>
      <w:bCs/>
    </w:rPr>
  </w:style>
  <w:style w:type="character" w:customStyle="1" w:styleId="CommentSubjectChar">
    <w:name w:val="Comment Subject Char"/>
    <w:basedOn w:val="CommentTextChar"/>
    <w:link w:val="CommentSubject"/>
    <w:uiPriority w:val="99"/>
    <w:semiHidden/>
    <w:rsid w:val="00C95A4E"/>
    <w:rPr>
      <w:rFonts w:ascii="Calibri Light" w:hAnsi="Calibri Light"/>
      <w:b/>
      <w:bCs/>
      <w:sz w:val="20"/>
      <w:szCs w:val="20"/>
    </w:rPr>
  </w:style>
  <w:style w:type="paragraph" w:styleId="Revision">
    <w:name w:val="Revision"/>
    <w:hidden/>
    <w:uiPriority w:val="99"/>
    <w:semiHidden/>
    <w:rsid w:val="001D3F2E"/>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8</cp:revision>
  <dcterms:created xsi:type="dcterms:W3CDTF">2017-07-11T19:53:00Z</dcterms:created>
  <dcterms:modified xsi:type="dcterms:W3CDTF">2017-11-24T12:03:00Z</dcterms:modified>
</cp:coreProperties>
</file>